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spacing w:after="0" w:before="0" w:lineRule="auto"/>
        <w:ind w:left="432" w:hanging="4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spacing w:after="0" w:before="0" w:lineRule="auto"/>
        <w:ind w:left="432" w:hanging="43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2965" cy="8407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72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720" w:firstLine="0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1.1. Настоящее Положение разработано в соответствии со следующими нормативными документами: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Законом Российской Федерации от 29.12.2012г.  №273– ФЗ «Об образовании в Российской Федерации», ст. 35;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Федеральным законом Российской Федерации от 29.12.1994 г.  № 78-ФЗ «О библиотечном деле»;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Инструкцией от 24.08.2000 г. № 2488 «Об учете библиотечного фонда библиотек образовательных учреждений»;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Приказ Минкультуры России от 08.10.2012 N 1077 «Об утверждении Порядка учета документов, входящих в состав библиотечного фонда»;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Уставом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Автономной некоммерческой организации дополнительного профессионального образования «Мастерская Индивидуальной Режиссуры».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1.2. Настоящее Положение определяет порядок и механизм формирования, учета, сохранности и предоставления в пользование учебно-методических материалов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Автономной некоммерческой организации дополнительного профессионального образования «Мастерская Индивидуальной Режиссуры»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(далее – учреждения).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1.3. Настоящее Положение является локальным актом учреждения, утверждается приказом директора учреждения. Изменения и дополнения в настоящее положение вносятся в таком же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1.4. Целью настоящего Положения является создание условий для максимального обеспечения учебно-методической литературой слушателей учреждения, а также для рационального использования учебных пособий и учебно-методических материалов. 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left="126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left="1080" w:firstLine="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Формирование учебно-методического фонда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hd w:fill="ffffff" w:val="clear"/>
        <w:spacing w:after="0" w:line="240" w:lineRule="auto"/>
        <w:ind w:left="0"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Комплектование учебно-методического фонда учреждения ведется на основе списка учебных и учебно-методических пособий, применяемых в образовательном процессе в учреждении. Данный список составляется ежегодно в соответствии с образовательными программами, реализуемыми в учреждении на принципах системного, планового подхода с учетом перспективы и преемственности реализации образовательных программ.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hd w:fill="ffffff" w:val="clear"/>
        <w:spacing w:after="0" w:line="240" w:lineRule="auto"/>
        <w:ind w:left="792" w:hanging="43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Учреждение самостоятельно в выборе и определении: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комплекта учебных пособий, учебно-методических материалов, обеспечивающих преподавание, программы (модуля);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средств обучения. Выбор средств обучения определяется спецификой содержания и формой организации образовательного процесса.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hd w:fill="ffffff" w:val="clear"/>
        <w:spacing w:after="0" w:line="240" w:lineRule="auto"/>
        <w:ind w:left="792" w:hanging="43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Непосредственное руководство и контроль работы по созданию и своевременному пополнению учебно-методического фонда учебных пособий осуществляет директор учреждения.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shd w:fill="ffffff" w:val="clear"/>
        <w:spacing w:after="0" w:line="240" w:lineRule="auto"/>
        <w:ind w:left="0" w:firstLine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Процесс работы по формированию фонда учебной литературы включает следующие этапы: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подготовка списка учебных пособий, планируемых к использованию в новом учебном году;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предоставление списка учебных пособий Ученому совету на согласование и утверждение;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подготовка списков общедоступных электронных библиотечных систем и обеспечение доступа к ним слушателей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left="360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left="360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left="360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left="360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left="360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left="1004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Порядок учета учебно-методического фонда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left="1004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hd w:fill="ffffff" w:val="clear"/>
        <w:tabs>
          <w:tab w:val="left" w:pos="851"/>
        </w:tabs>
        <w:spacing w:after="0" w:line="240" w:lineRule="auto"/>
        <w:ind w:left="792" w:right="-2" w:hanging="43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учебно-методическому фонду относятся общедоступные электронные библиотечные системы, учебные пособия, сборники статей, профильные издания периодической печати, монографии, художественная литература, аудио- и видеозаписи практических занятий, лекций и мастер-классов, проводимых в учреждении в рамках учебного процесса, видеоархив, ведение которого осуществляет учреждение.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shd w:fill="ffffff" w:val="clear"/>
        <w:tabs>
          <w:tab w:val="left" w:pos="851"/>
        </w:tabs>
        <w:spacing w:after="0" w:line="240" w:lineRule="auto"/>
        <w:ind w:left="792" w:hanging="43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Учёт учебно-методического фонда отражает поступление, выбытие, общую величину фонда учебных пособий, и служит основой его правильного формирования, целевого использования и сохранности.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shd w:fill="ffffff" w:val="clear"/>
        <w:tabs>
          <w:tab w:val="left" w:pos="851"/>
        </w:tabs>
        <w:spacing w:after="0" w:line="240" w:lineRule="auto"/>
        <w:ind w:left="792" w:hanging="43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Учет учебно-методического фонда учреждения организуется в соответствии с основными положениями Методических рекомендаций по применению Инструкции об учете библиотечного фонда в библиотеках образовательных учреждений», утвержденных Приказом Министерства образования от 24.08.2000 № 2488.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hd w:fill="ffffff" w:val="clear"/>
        <w:tabs>
          <w:tab w:val="left" w:pos="851"/>
        </w:tabs>
        <w:spacing w:after="0" w:line="240" w:lineRule="auto"/>
        <w:ind w:left="792" w:hanging="432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Инвентаризация учебно-методического фонда или сверка данных проводится ежегодно.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left="1004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 Порядок выдачи учебно-методической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left="284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shd w:fill="ffffff" w:val="clear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Порядок пользования учебно-методической литературы определяется Положением о библиотечном фонде учебных пособий, порядке его формирования, учета, использования и обеспечения сохранности.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shd w:fill="ffffff" w:val="clear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Учреждение бесплатно обеспечивает слушателям доступ к общедоступным электронным библиотечным системам, аудио- и видеозаписям практических занятий, лекций и мастер-классов, видеоархиву, учебным и учебно-методическими пособиями. Учебно-методический фонд ежегодно пополняется необходимыми учебными и учебно-методическими пособиями.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shd w:fill="ffffff" w:val="clear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Учебные пособия и учебно-методические материалы (аудио- и видеозаписи практических занятий, лекций и мастер-классов, видеоархив, рабочие программы, методические пособия и т.п.) для личного использования преподавателей предоставляются бесплатно в единичном экземпляре, если данные издания имеются в наличии в учебно-методическом фонде.</w:t>
      </w:r>
    </w:p>
    <w:p w:rsidR="00000000" w:rsidDel="00000000" w:rsidP="00000000" w:rsidRDefault="00000000" w:rsidRPr="00000000" w14:paraId="0000002C">
      <w:pPr>
        <w:shd w:fill="ffffff" w:val="clear"/>
        <w:tabs>
          <w:tab w:val="left" w:pos="851"/>
        </w:tabs>
        <w:spacing w:after="0" w:line="240" w:lineRule="auto"/>
        <w:ind w:left="128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сохранности учебно-методического фонда</w:t>
      </w:r>
    </w:p>
    <w:p w:rsidR="00000000" w:rsidDel="00000000" w:rsidP="00000000" w:rsidRDefault="00000000" w:rsidRPr="00000000" w14:paraId="0000002E">
      <w:pPr>
        <w:numPr>
          <w:ilvl w:val="1"/>
          <w:numId w:val="8"/>
        </w:numPr>
        <w:shd w:fill="ffffff" w:val="clear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Сохранность фонда обеспечивается созданием оптимальных условий хранения и использования учебных пособий, а также охраной их от порчи и хищений.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8"/>
        </w:numPr>
        <w:shd w:fill="ffffff" w:val="clear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 за организацию сохранности фонда учебных пособий возлагается на заведующего учебно-методическим отделом учреждения.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8"/>
        </w:numPr>
        <w:shd w:fill="ffffff" w:val="clear"/>
        <w:tabs>
          <w:tab w:val="left" w:pos="284"/>
          <w:tab w:val="left" w:pos="426"/>
        </w:tabs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 за состояние и сохранность выданных учебных пособий в течение учебного года несут слушатели, пользующиеся этим фондом.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8"/>
        </w:numPr>
        <w:shd w:fill="ffffff" w:val="clear"/>
        <w:tabs>
          <w:tab w:val="left" w:pos="284"/>
          <w:tab w:val="left" w:pos="426"/>
        </w:tabs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утери или порчи учебных пособий слушатели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возмещают нанесенный ущерб в соответствии с действующим законодательством.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Требования к использованию и обеспечению 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ind w:left="72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сохранности учебно-методических материалов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9"/>
        </w:numPr>
        <w:shd w:fill="ffffff" w:val="clear"/>
        <w:spacing w:after="0" w:line="240" w:lineRule="auto"/>
        <w:ind w:left="0" w:firstLine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Обучающиеся обязаны: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0"/>
        </w:numPr>
        <w:shd w:fill="ffffff" w:val="clear"/>
        <w:spacing w:after="0" w:line="24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бережно относиться к учебным пособиям,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0"/>
        </w:numPr>
        <w:shd w:fill="ffffff" w:val="clear"/>
        <w:spacing w:after="0" w:line="24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гарантировать индивидуальное использование аудио- и видеозаписей практических занятий, лекций и мастер-классов, видеоархива, лекционных материалов,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распространять ссылки на аудио- и видеозаписи практических занятий, лекций и мастер-классов, материалов видеоархива учреждения, защищенных авторским правом и предающихся исключительно для индивидуального использования в рамках учебного процесса.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283" w:hanging="431.9999999999999"/>
      </w:pPr>
      <w:rPr>
        <w:rFonts w:ascii="Calibri" w:cs="Calibri" w:eastAsia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8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9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80" w:before="280" w:line="240" w:lineRule="auto"/>
      <w:ind w:left="720" w:hanging="36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a" w:default="1">
    <w:name w:val="Normal"/>
    <w:qFormat w:val="1"/>
    <w:pPr>
      <w:spacing w:after="160" w:line="259" w:lineRule="auto"/>
    </w:pPr>
  </w:style>
  <w:style w:type="paragraph" w:styleId="1">
    <w:name w:val="heading 1"/>
    <w:basedOn w:val="a"/>
    <w:next w:val="a0"/>
    <w:link w:val="10"/>
    <w:qFormat w:val="1"/>
    <w:rsid w:val="00DB2819"/>
    <w:pPr>
      <w:numPr>
        <w:numId w:val="1"/>
      </w:numPr>
      <w:suppressAutoHyphens w:val="1"/>
      <w:spacing w:after="280" w:before="280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1"/>
      <w:sz w:val="48"/>
      <w:szCs w:val="48"/>
      <w:lang w:eastAsia="ar-SA" w:val="x-none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c5" w:customStyle="1">
    <w:name w:val="c5"/>
    <w:basedOn w:val="a1"/>
    <w:qFormat w:val="1"/>
    <w:rsid w:val="0004734C"/>
  </w:style>
  <w:style w:type="character" w:styleId="c4" w:customStyle="1">
    <w:name w:val="c4"/>
    <w:basedOn w:val="a1"/>
    <w:qFormat w:val="1"/>
    <w:rsid w:val="0004734C"/>
  </w:style>
  <w:style w:type="character" w:styleId="c9" w:customStyle="1">
    <w:name w:val="c9"/>
    <w:basedOn w:val="a1"/>
    <w:qFormat w:val="1"/>
    <w:rsid w:val="0004734C"/>
  </w:style>
  <w:style w:type="character" w:styleId="c20" w:customStyle="1">
    <w:name w:val="c20"/>
    <w:basedOn w:val="a1"/>
    <w:qFormat w:val="1"/>
    <w:rsid w:val="0004734C"/>
  </w:style>
  <w:style w:type="character" w:styleId="c14" w:customStyle="1">
    <w:name w:val="c14"/>
    <w:basedOn w:val="a1"/>
    <w:qFormat w:val="1"/>
    <w:rsid w:val="0004734C"/>
  </w:style>
  <w:style w:type="character" w:styleId="c0" w:customStyle="1">
    <w:name w:val="c0"/>
    <w:basedOn w:val="a1"/>
    <w:qFormat w:val="1"/>
    <w:rsid w:val="0004734C"/>
  </w:style>
  <w:style w:type="character" w:styleId="c21" w:customStyle="1">
    <w:name w:val="c21"/>
    <w:basedOn w:val="a1"/>
    <w:qFormat w:val="1"/>
    <w:rsid w:val="0004734C"/>
  </w:style>
  <w:style w:type="character" w:styleId="c24" w:customStyle="1">
    <w:name w:val="c24"/>
    <w:basedOn w:val="a1"/>
    <w:qFormat w:val="1"/>
    <w:rsid w:val="0004734C"/>
  </w:style>
  <w:style w:type="character" w:styleId="ListLabel1" w:customStyle="1">
    <w:name w:val="ListLabel 1"/>
    <w:qFormat w:val="1"/>
    <w:rPr>
      <w:rFonts w:ascii="Calibri" w:hAnsi="Calibri"/>
      <w:sz w:val="20"/>
    </w:rPr>
  </w:style>
  <w:style w:type="character" w:styleId="ListLabel2" w:customStyle="1">
    <w:name w:val="ListLabel 2"/>
    <w:qFormat w:val="1"/>
    <w:rPr>
      <w:sz w:val="20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rFonts w:ascii="Calibri" w:hAnsi="Calibri"/>
      <w:sz w:val="20"/>
    </w:rPr>
  </w:style>
  <w:style w:type="character" w:styleId="ListLabel11" w:customStyle="1">
    <w:name w:val="ListLabel 11"/>
    <w:qFormat w:val="1"/>
    <w:rPr>
      <w:sz w:val="20"/>
    </w:rPr>
  </w:style>
  <w:style w:type="character" w:styleId="ListLabel12" w:customStyle="1">
    <w:name w:val="ListLabel 12"/>
    <w:qFormat w:val="1"/>
    <w:rPr>
      <w:sz w:val="20"/>
    </w:rPr>
  </w:style>
  <w:style w:type="character" w:styleId="ListLabel13" w:customStyle="1">
    <w:name w:val="ListLabel 13"/>
    <w:qFormat w:val="1"/>
    <w:rPr>
      <w:sz w:val="20"/>
    </w:rPr>
  </w:style>
  <w:style w:type="character" w:styleId="ListLabel14" w:customStyle="1">
    <w:name w:val="ListLabel 14"/>
    <w:qFormat w:val="1"/>
    <w:rPr>
      <w:sz w:val="20"/>
    </w:rPr>
  </w:style>
  <w:style w:type="character" w:styleId="ListLabel15" w:customStyle="1">
    <w:name w:val="ListLabel 15"/>
    <w:qFormat w:val="1"/>
    <w:rPr>
      <w:sz w:val="20"/>
    </w:rPr>
  </w:style>
  <w:style w:type="character" w:styleId="ListLabel16" w:customStyle="1">
    <w:name w:val="ListLabel 16"/>
    <w:qFormat w:val="1"/>
    <w:rPr>
      <w:sz w:val="20"/>
    </w:rPr>
  </w:style>
  <w:style w:type="character" w:styleId="ListLabel17" w:customStyle="1">
    <w:name w:val="ListLabel 17"/>
    <w:qFormat w:val="1"/>
    <w:rPr>
      <w:sz w:val="20"/>
    </w:rPr>
  </w:style>
  <w:style w:type="character" w:styleId="ListLabel18" w:customStyle="1">
    <w:name w:val="ListLabel 18"/>
    <w:qFormat w:val="1"/>
    <w:rPr>
      <w:sz w:val="20"/>
    </w:rPr>
  </w:style>
  <w:style w:type="character" w:styleId="ListLabel19" w:customStyle="1">
    <w:name w:val="ListLabel 19"/>
    <w:qFormat w:val="1"/>
    <w:rPr>
      <w:rFonts w:ascii="Calibri" w:cs="Times New Roman" w:hAnsi="Calibri"/>
      <w:sz w:val="20"/>
      <w:szCs w:val="28"/>
    </w:rPr>
  </w:style>
  <w:style w:type="character" w:styleId="ListLabel20" w:customStyle="1">
    <w:name w:val="ListLabel 20"/>
    <w:qFormat w:val="1"/>
    <w:rPr>
      <w:rFonts w:ascii="Calibri" w:cs="Times New Roman" w:hAnsi="Calibri"/>
      <w:sz w:val="24"/>
      <w:szCs w:val="24"/>
    </w:rPr>
  </w:style>
  <w:style w:type="character" w:styleId="ListLabel21" w:customStyle="1">
    <w:name w:val="ListLabel 21"/>
    <w:qFormat w:val="1"/>
    <w:rPr>
      <w:rFonts w:ascii="Calibri" w:hAnsi="Calibri"/>
      <w:sz w:val="20"/>
    </w:rPr>
  </w:style>
  <w:style w:type="character" w:styleId="ListLabel22" w:customStyle="1">
    <w:name w:val="ListLabel 22"/>
    <w:qFormat w:val="1"/>
    <w:rPr>
      <w:sz w:val="20"/>
    </w:rPr>
  </w:style>
  <w:style w:type="character" w:styleId="ListLabel23" w:customStyle="1">
    <w:name w:val="ListLabel 23"/>
    <w:qFormat w:val="1"/>
    <w:rPr>
      <w:sz w:val="20"/>
    </w:rPr>
  </w:style>
  <w:style w:type="character" w:styleId="ListLabel24" w:customStyle="1">
    <w:name w:val="ListLabel 24"/>
    <w:qFormat w:val="1"/>
    <w:rPr>
      <w:sz w:val="20"/>
    </w:rPr>
  </w:style>
  <w:style w:type="character" w:styleId="ListLabel25" w:customStyle="1">
    <w:name w:val="ListLabel 25"/>
    <w:qFormat w:val="1"/>
    <w:rPr>
      <w:sz w:val="20"/>
    </w:rPr>
  </w:style>
  <w:style w:type="character" w:styleId="ListLabel26" w:customStyle="1">
    <w:name w:val="ListLabel 26"/>
    <w:qFormat w:val="1"/>
    <w:rPr>
      <w:sz w:val="20"/>
    </w:rPr>
  </w:style>
  <w:style w:type="character" w:styleId="ListLabel27" w:customStyle="1">
    <w:name w:val="ListLabel 27"/>
    <w:qFormat w:val="1"/>
    <w:rPr>
      <w:sz w:val="20"/>
    </w:rPr>
  </w:style>
  <w:style w:type="character" w:styleId="ListLabel28" w:customStyle="1">
    <w:name w:val="ListLabel 28"/>
    <w:qFormat w:val="1"/>
    <w:rPr>
      <w:sz w:val="20"/>
    </w:rPr>
  </w:style>
  <w:style w:type="character" w:styleId="ListLabel29" w:customStyle="1">
    <w:name w:val="ListLabel 29"/>
    <w:qFormat w:val="1"/>
    <w:rPr>
      <w:sz w:val="20"/>
    </w:rPr>
  </w:style>
  <w:style w:type="character" w:styleId="ListLabel30" w:customStyle="1">
    <w:name w:val="ListLabel 30"/>
    <w:qFormat w:val="1"/>
    <w:rPr>
      <w:rFonts w:ascii="Calibri" w:hAnsi="Calibri"/>
      <w:sz w:val="20"/>
    </w:rPr>
  </w:style>
  <w:style w:type="character" w:styleId="ListLabel31" w:customStyle="1">
    <w:name w:val="ListLabel 31"/>
    <w:qFormat w:val="1"/>
    <w:rPr>
      <w:sz w:val="20"/>
    </w:rPr>
  </w:style>
  <w:style w:type="character" w:styleId="ListLabel32" w:customStyle="1">
    <w:name w:val="ListLabel 32"/>
    <w:qFormat w:val="1"/>
    <w:rPr>
      <w:sz w:val="20"/>
    </w:rPr>
  </w:style>
  <w:style w:type="character" w:styleId="ListLabel33" w:customStyle="1">
    <w:name w:val="ListLabel 33"/>
    <w:qFormat w:val="1"/>
    <w:rPr>
      <w:sz w:val="20"/>
    </w:rPr>
  </w:style>
  <w:style w:type="character" w:styleId="ListLabel34" w:customStyle="1">
    <w:name w:val="ListLabel 34"/>
    <w:qFormat w:val="1"/>
    <w:rPr>
      <w:sz w:val="20"/>
    </w:rPr>
  </w:style>
  <w:style w:type="character" w:styleId="ListLabel35" w:customStyle="1">
    <w:name w:val="ListLabel 35"/>
    <w:qFormat w:val="1"/>
    <w:rPr>
      <w:sz w:val="20"/>
    </w:rPr>
  </w:style>
  <w:style w:type="character" w:styleId="ListLabel36" w:customStyle="1">
    <w:name w:val="ListLabel 36"/>
    <w:qFormat w:val="1"/>
    <w:rPr>
      <w:sz w:val="20"/>
    </w:rPr>
  </w:style>
  <w:style w:type="character" w:styleId="ListLabel37" w:customStyle="1">
    <w:name w:val="ListLabel 37"/>
    <w:qFormat w:val="1"/>
    <w:rPr>
      <w:sz w:val="20"/>
    </w:rPr>
  </w:style>
  <w:style w:type="character" w:styleId="ListLabel38" w:customStyle="1">
    <w:name w:val="ListLabel 38"/>
    <w:qFormat w:val="1"/>
    <w:rPr>
      <w:sz w:val="20"/>
    </w:rPr>
  </w:style>
  <w:style w:type="character" w:styleId="ListLabel39" w:customStyle="1">
    <w:name w:val="ListLabel 39"/>
    <w:qFormat w:val="1"/>
    <w:rPr>
      <w:rFonts w:ascii="Calibri" w:cs="Times New Roman" w:hAnsi="Calibri"/>
      <w:sz w:val="24"/>
      <w:szCs w:val="24"/>
    </w:rPr>
  </w:style>
  <w:style w:type="character" w:styleId="ListLabel40" w:customStyle="1">
    <w:name w:val="ListLabel 40"/>
    <w:qFormat w:val="1"/>
    <w:rPr>
      <w:rFonts w:ascii="Calibri" w:hAnsi="Calibri"/>
      <w:sz w:val="20"/>
    </w:rPr>
  </w:style>
  <w:style w:type="character" w:styleId="ListLabel41" w:customStyle="1">
    <w:name w:val="ListLabel 41"/>
    <w:qFormat w:val="1"/>
    <w:rPr>
      <w:sz w:val="20"/>
    </w:rPr>
  </w:style>
  <w:style w:type="character" w:styleId="ListLabel42" w:customStyle="1">
    <w:name w:val="ListLabel 42"/>
    <w:qFormat w:val="1"/>
    <w:rPr>
      <w:sz w:val="20"/>
    </w:rPr>
  </w:style>
  <w:style w:type="character" w:styleId="ListLabel43" w:customStyle="1">
    <w:name w:val="ListLabel 43"/>
    <w:qFormat w:val="1"/>
    <w:rPr>
      <w:sz w:val="20"/>
    </w:rPr>
  </w:style>
  <w:style w:type="character" w:styleId="ListLabel44" w:customStyle="1">
    <w:name w:val="ListLabel 44"/>
    <w:qFormat w:val="1"/>
    <w:rPr>
      <w:sz w:val="20"/>
    </w:rPr>
  </w:style>
  <w:style w:type="character" w:styleId="ListLabel45" w:customStyle="1">
    <w:name w:val="ListLabel 45"/>
    <w:qFormat w:val="1"/>
    <w:rPr>
      <w:sz w:val="20"/>
    </w:rPr>
  </w:style>
  <w:style w:type="character" w:styleId="ListLabel46" w:customStyle="1">
    <w:name w:val="ListLabel 46"/>
    <w:qFormat w:val="1"/>
    <w:rPr>
      <w:sz w:val="20"/>
    </w:rPr>
  </w:style>
  <w:style w:type="character" w:styleId="ListLabel47" w:customStyle="1">
    <w:name w:val="ListLabel 47"/>
    <w:qFormat w:val="1"/>
    <w:rPr>
      <w:sz w:val="20"/>
    </w:rPr>
  </w:style>
  <w:style w:type="character" w:styleId="ListLabel48" w:customStyle="1">
    <w:name w:val="ListLabel 48"/>
    <w:qFormat w:val="1"/>
    <w:rPr>
      <w:sz w:val="20"/>
    </w:rPr>
  </w:style>
  <w:style w:type="character" w:styleId="ListLabel49" w:customStyle="1">
    <w:name w:val="ListLabel 49"/>
    <w:qFormat w:val="1"/>
    <w:rPr>
      <w:rFonts w:ascii="Calibri" w:cs="Times New Roman" w:hAnsi="Calibri"/>
      <w:sz w:val="20"/>
      <w:szCs w:val="28"/>
    </w:rPr>
  </w:style>
  <w:style w:type="character" w:styleId="ListLabel50" w:customStyle="1">
    <w:name w:val="ListLabel 50"/>
    <w:qFormat w:val="1"/>
    <w:rPr>
      <w:sz w:val="20"/>
    </w:rPr>
  </w:style>
  <w:style w:type="character" w:styleId="ListLabel51" w:customStyle="1">
    <w:name w:val="ListLabel 51"/>
    <w:qFormat w:val="1"/>
    <w:rPr>
      <w:sz w:val="20"/>
    </w:rPr>
  </w:style>
  <w:style w:type="character" w:styleId="ListLabel52" w:customStyle="1">
    <w:name w:val="ListLabel 52"/>
    <w:qFormat w:val="1"/>
    <w:rPr>
      <w:sz w:val="20"/>
    </w:rPr>
  </w:style>
  <w:style w:type="character" w:styleId="ListLabel53" w:customStyle="1">
    <w:name w:val="ListLabel 53"/>
    <w:qFormat w:val="1"/>
    <w:rPr>
      <w:sz w:val="20"/>
    </w:rPr>
  </w:style>
  <w:style w:type="character" w:styleId="ListLabel54" w:customStyle="1">
    <w:name w:val="ListLabel 54"/>
    <w:qFormat w:val="1"/>
    <w:rPr>
      <w:sz w:val="20"/>
    </w:rPr>
  </w:style>
  <w:style w:type="character" w:styleId="ListLabel55" w:customStyle="1">
    <w:name w:val="ListLabel 55"/>
    <w:qFormat w:val="1"/>
    <w:rPr>
      <w:sz w:val="20"/>
    </w:rPr>
  </w:style>
  <w:style w:type="character" w:styleId="ListLabel56" w:customStyle="1">
    <w:name w:val="ListLabel 56"/>
    <w:qFormat w:val="1"/>
    <w:rPr>
      <w:sz w:val="20"/>
    </w:rPr>
  </w:style>
  <w:style w:type="character" w:styleId="ListLabel57" w:customStyle="1">
    <w:name w:val="ListLabel 57"/>
    <w:qFormat w:val="1"/>
    <w:rPr>
      <w:sz w:val="20"/>
    </w:rPr>
  </w:style>
  <w:style w:type="character" w:styleId="ListLabel58" w:customStyle="1">
    <w:name w:val="ListLabel 58"/>
    <w:qFormat w:val="1"/>
    <w:rPr>
      <w:sz w:val="20"/>
    </w:rPr>
  </w:style>
  <w:style w:type="character" w:styleId="ListLabel59" w:customStyle="1">
    <w:name w:val="ListLabel 59"/>
    <w:qFormat w:val="1"/>
    <w:rPr>
      <w:sz w:val="20"/>
    </w:rPr>
  </w:style>
  <w:style w:type="character" w:styleId="ListLabel60" w:customStyle="1">
    <w:name w:val="ListLabel 60"/>
    <w:qFormat w:val="1"/>
    <w:rPr>
      <w:sz w:val="20"/>
    </w:rPr>
  </w:style>
  <w:style w:type="character" w:styleId="ListLabel61" w:customStyle="1">
    <w:name w:val="ListLabel 61"/>
    <w:qFormat w:val="1"/>
    <w:rPr>
      <w:sz w:val="20"/>
    </w:rPr>
  </w:style>
  <w:style w:type="character" w:styleId="ListLabel62" w:customStyle="1">
    <w:name w:val="ListLabel 62"/>
    <w:qFormat w:val="1"/>
    <w:rPr>
      <w:sz w:val="20"/>
    </w:rPr>
  </w:style>
  <w:style w:type="character" w:styleId="ListLabel63" w:customStyle="1">
    <w:name w:val="ListLabel 63"/>
    <w:qFormat w:val="1"/>
    <w:rPr>
      <w:sz w:val="20"/>
    </w:rPr>
  </w:style>
  <w:style w:type="character" w:styleId="ListLabel64" w:customStyle="1">
    <w:name w:val="ListLabel 64"/>
    <w:qFormat w:val="1"/>
    <w:rPr>
      <w:sz w:val="20"/>
    </w:rPr>
  </w:style>
  <w:style w:type="character" w:styleId="ListLabel65" w:customStyle="1">
    <w:name w:val="ListLabel 65"/>
    <w:qFormat w:val="1"/>
    <w:rPr>
      <w:sz w:val="20"/>
    </w:rPr>
  </w:style>
  <w:style w:type="character" w:styleId="ListLabel66" w:customStyle="1">
    <w:name w:val="ListLabel 66"/>
    <w:qFormat w:val="1"/>
    <w:rPr>
      <w:sz w:val="20"/>
    </w:rPr>
  </w:style>
  <w:style w:type="character" w:styleId="ListLabel67" w:customStyle="1">
    <w:name w:val="ListLabel 67"/>
    <w:qFormat w:val="1"/>
    <w:rPr>
      <w:sz w:val="20"/>
    </w:rPr>
  </w:style>
  <w:style w:type="character" w:styleId="ListLabel68" w:customStyle="1">
    <w:name w:val="ListLabel 68"/>
    <w:qFormat w:val="1"/>
    <w:rPr>
      <w:rFonts w:ascii="Calibri" w:cs="Times New Roman" w:hAnsi="Calibri"/>
      <w:b w:val="1"/>
      <w:sz w:val="20"/>
      <w:szCs w:val="28"/>
    </w:rPr>
  </w:style>
  <w:style w:type="character" w:styleId="ListLabel69" w:customStyle="1">
    <w:name w:val="ListLabel 69"/>
    <w:qFormat w:val="1"/>
    <w:rPr>
      <w:sz w:val="20"/>
    </w:rPr>
  </w:style>
  <w:style w:type="character" w:styleId="ListLabel70" w:customStyle="1">
    <w:name w:val="ListLabel 70"/>
    <w:qFormat w:val="1"/>
    <w:rPr>
      <w:sz w:val="20"/>
    </w:rPr>
  </w:style>
  <w:style w:type="character" w:styleId="ListLabel71" w:customStyle="1">
    <w:name w:val="ListLabel 71"/>
    <w:qFormat w:val="1"/>
    <w:rPr>
      <w:sz w:val="20"/>
    </w:rPr>
  </w:style>
  <w:style w:type="character" w:styleId="ListLabel72" w:customStyle="1">
    <w:name w:val="ListLabel 72"/>
    <w:qFormat w:val="1"/>
    <w:rPr>
      <w:sz w:val="20"/>
    </w:rPr>
  </w:style>
  <w:style w:type="character" w:styleId="ListLabel73" w:customStyle="1">
    <w:name w:val="ListLabel 73"/>
    <w:qFormat w:val="1"/>
    <w:rPr>
      <w:sz w:val="20"/>
    </w:rPr>
  </w:style>
  <w:style w:type="character" w:styleId="ListLabel74" w:customStyle="1">
    <w:name w:val="ListLabel 74"/>
    <w:qFormat w:val="1"/>
    <w:rPr>
      <w:sz w:val="20"/>
    </w:rPr>
  </w:style>
  <w:style w:type="character" w:styleId="ListLabel75" w:customStyle="1">
    <w:name w:val="ListLabel 75"/>
    <w:qFormat w:val="1"/>
    <w:rPr>
      <w:sz w:val="20"/>
    </w:rPr>
  </w:style>
  <w:style w:type="character" w:styleId="ListLabel76" w:customStyle="1">
    <w:name w:val="ListLabel 76"/>
    <w:qFormat w:val="1"/>
    <w:rPr>
      <w:sz w:val="20"/>
    </w:rPr>
  </w:style>
  <w:style w:type="character" w:styleId="ListLabel77" w:customStyle="1">
    <w:name w:val="ListLabel 77"/>
    <w:qFormat w:val="1"/>
    <w:rPr>
      <w:sz w:val="20"/>
    </w:rPr>
  </w:style>
  <w:style w:type="character" w:styleId="ListLabel78" w:customStyle="1">
    <w:name w:val="ListLabel 78"/>
    <w:qFormat w:val="1"/>
    <w:rPr>
      <w:rFonts w:ascii="Calibri" w:cs="Times New Roman" w:hAnsi="Calibri"/>
      <w:sz w:val="20"/>
      <w:szCs w:val="28"/>
    </w:rPr>
  </w:style>
  <w:style w:type="character" w:styleId="ListLabel79" w:customStyle="1">
    <w:name w:val="ListLabel 79"/>
    <w:qFormat w:val="1"/>
    <w:rPr>
      <w:rFonts w:ascii="Calibri" w:cs="Times New Roman" w:hAnsi="Calibri"/>
      <w:sz w:val="20"/>
      <w:szCs w:val="24"/>
    </w:rPr>
  </w:style>
  <w:style w:type="character" w:styleId="a4" w:customStyle="1">
    <w:name w:val="Маркеры списка"/>
    <w:qFormat w:val="1"/>
    <w:rPr>
      <w:rFonts w:ascii="OpenSymbol" w:cs="OpenSymbol" w:eastAsia="OpenSymbol" w:hAnsi="OpenSymbol"/>
    </w:rPr>
  </w:style>
  <w:style w:type="paragraph" w:styleId="a5">
    <w:name w:val="Title"/>
    <w:basedOn w:val="a"/>
    <w:next w:val="a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Arial"/>
    </w:rPr>
  </w:style>
  <w:style w:type="paragraph" w:styleId="a7">
    <w:name w:val="caption"/>
    <w:basedOn w:val="a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a8">
    <w:name w:val="index heading"/>
    <w:basedOn w:val="a"/>
    <w:qFormat w:val="1"/>
    <w:pPr>
      <w:suppressLineNumbers w:val="1"/>
    </w:pPr>
    <w:rPr>
      <w:rFonts w:cs="Arial"/>
    </w:rPr>
  </w:style>
  <w:style w:type="paragraph" w:styleId="c11" w:customStyle="1">
    <w:name w:val="c11"/>
    <w:basedOn w:val="a"/>
    <w:qFormat w:val="1"/>
    <w:rsid w:val="0004734C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19" w:customStyle="1">
    <w:name w:val="c19"/>
    <w:basedOn w:val="a"/>
    <w:qFormat w:val="1"/>
    <w:rsid w:val="0004734C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2" w:customStyle="1">
    <w:name w:val="c2"/>
    <w:basedOn w:val="a"/>
    <w:qFormat w:val="1"/>
    <w:rsid w:val="0004734C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17" w:customStyle="1">
    <w:name w:val="c17"/>
    <w:basedOn w:val="a"/>
    <w:qFormat w:val="1"/>
    <w:rsid w:val="0004734C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13" w:customStyle="1">
    <w:name w:val="c13"/>
    <w:basedOn w:val="a"/>
    <w:qFormat w:val="1"/>
    <w:rsid w:val="0004734C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8" w:customStyle="1">
    <w:name w:val="c8"/>
    <w:basedOn w:val="a"/>
    <w:qFormat w:val="1"/>
    <w:rsid w:val="0004734C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 w:val="1"/>
    <w:rsid w:val="00AE7C26"/>
    <w:pPr>
      <w:ind w:left="720"/>
      <w:contextualSpacing w:val="1"/>
    </w:pPr>
  </w:style>
  <w:style w:type="paragraph" w:styleId="aa" w:customStyle="1">
    <w:name w:val="Содержимое таблицы"/>
    <w:basedOn w:val="a"/>
    <w:qFormat w:val="1"/>
    <w:pPr>
      <w:suppressLineNumbers w:val="1"/>
    </w:pPr>
  </w:style>
  <w:style w:type="paragraph" w:styleId="ab" w:customStyle="1">
    <w:name w:val="Заголовок таблицы"/>
    <w:basedOn w:val="aa"/>
    <w:qFormat w:val="1"/>
    <w:pPr>
      <w:jc w:val="center"/>
    </w:pPr>
    <w:rPr>
      <w:b w:val="1"/>
      <w:bCs w:val="1"/>
    </w:rPr>
  </w:style>
  <w:style w:type="character" w:styleId="10" w:customStyle="1">
    <w:name w:val="Заголовок 1 Знак"/>
    <w:basedOn w:val="a1"/>
    <w:link w:val="1"/>
    <w:rsid w:val="00DB2819"/>
    <w:rPr>
      <w:rFonts w:ascii="Times New Roman" w:cs="Times New Roman" w:eastAsia="Times New Roman" w:hAnsi="Times New Roman"/>
      <w:b w:val="1"/>
      <w:bCs w:val="1"/>
      <w:kern w:val="1"/>
      <w:sz w:val="48"/>
      <w:szCs w:val="48"/>
      <w:lang w:eastAsia="ar-SA" w:val="x-none"/>
    </w:rPr>
  </w:style>
  <w:style w:type="paragraph" w:styleId="ac">
    <w:name w:val="header"/>
    <w:basedOn w:val="a"/>
    <w:link w:val="ad"/>
    <w:uiPriority w:val="99"/>
    <w:unhideWhenUsed w:val="1"/>
    <w:rsid w:val="0000416C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1"/>
    <w:link w:val="ac"/>
    <w:uiPriority w:val="99"/>
    <w:rsid w:val="0000416C"/>
  </w:style>
  <w:style w:type="paragraph" w:styleId="ae">
    <w:name w:val="footer"/>
    <w:basedOn w:val="a"/>
    <w:link w:val="af"/>
    <w:uiPriority w:val="99"/>
    <w:unhideWhenUsed w:val="1"/>
    <w:rsid w:val="0000416C"/>
    <w:pPr>
      <w:tabs>
        <w:tab w:val="center" w:pos="4677"/>
        <w:tab w:val="right" w:pos="9355"/>
      </w:tabs>
      <w:spacing w:after="0" w:line="240" w:lineRule="auto"/>
    </w:pPr>
  </w:style>
  <w:style w:type="character" w:styleId="af" w:customStyle="1">
    <w:name w:val="Нижний колонтитул Знак"/>
    <w:basedOn w:val="a1"/>
    <w:link w:val="ae"/>
    <w:uiPriority w:val="99"/>
    <w:rsid w:val="0000416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0pjfJTlOTckczZx6LxVYO+jl1w==">AMUW2mW6YpWo8Gk+d+/eTyf/xSpXEc8cLqTUs6eNvZo7yhh8rOG7aka57Lx5bvncGMxXK94/YEvfWux31H2eSLZafzhIFeC6f/b3c5slTQ4VwIZROzq68q4/gVHOnn0GoX3ZQOZUhBAi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2020-05-23T23:27:00Z</dcterms:created>
  <dc:creator>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